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80" w:lineRule="exact"/>
        <w:jc w:val="left"/>
        <w:outlineLvl w:val="0"/>
        <w:rPr>
          <w:rFonts w:hint="eastAsia" w:ascii="仿宋_GB2312" w:hAnsi="仿宋_GB2312" w:eastAsia="仿宋_GB2312" w:cs="仿宋_GB2312"/>
          <w:b w:val="0"/>
          <w:bCs/>
          <w:sz w:val="32"/>
          <w:szCs w:val="32"/>
          <w:lang w:val="en-US" w:eastAsia="zh-CN"/>
        </w:rPr>
      </w:pPr>
      <w:bookmarkStart w:id="0" w:name="_GoBack"/>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p>
    <w:bookmarkEnd w:id="0"/>
    <w:p>
      <w:pPr>
        <w:spacing w:before="156" w:beforeLines="50" w:after="156" w:afterLines="50" w:line="480" w:lineRule="exact"/>
        <w:jc w:val="center"/>
        <w:outlineLvl w:val="0"/>
        <w:rPr>
          <w:rFonts w:ascii="宋体" w:hAnsi="宋体"/>
          <w:b/>
          <w:sz w:val="44"/>
          <w:szCs w:val="44"/>
        </w:rPr>
      </w:pPr>
      <w:r>
        <w:rPr>
          <w:rFonts w:hint="eastAsia" w:ascii="宋体" w:hAnsi="宋体"/>
          <w:b/>
          <w:sz w:val="44"/>
          <w:szCs w:val="44"/>
        </w:rPr>
        <w:t>201</w:t>
      </w:r>
      <w:r>
        <w:rPr>
          <w:rFonts w:hint="eastAsia" w:ascii="宋体" w:hAnsi="宋体"/>
          <w:b/>
          <w:sz w:val="44"/>
          <w:szCs w:val="44"/>
          <w:lang w:val="en-US" w:eastAsia="zh-CN"/>
        </w:rPr>
        <w:t>9</w:t>
      </w:r>
      <w:r>
        <w:rPr>
          <w:rFonts w:hint="eastAsia" w:ascii="宋体" w:hAnsi="宋体"/>
          <w:b/>
          <w:sz w:val="44"/>
          <w:szCs w:val="44"/>
        </w:rPr>
        <w:t>年度深圳市职称评审费用缴纳说明</w:t>
      </w:r>
    </w:p>
    <w:p>
      <w:pPr>
        <w:spacing w:before="156" w:beforeLines="50" w:after="156" w:afterLines="50" w:line="480" w:lineRule="exact"/>
        <w:ind w:firstLine="723" w:firstLineChars="240"/>
        <w:rPr>
          <w:rFonts w:ascii="黑体" w:hAnsi="黑体" w:eastAsia="黑体"/>
          <w:b/>
          <w:color w:val="000000"/>
          <w:sz w:val="30"/>
          <w:szCs w:val="30"/>
        </w:rPr>
      </w:pP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一、缴费标准</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职称评审继续按《关于转发省物价局、省财政厅〈关于调整专业技术资格评审费标准的复函〉的通知》（粤人发〔2007〕35号）规定收取评审费。</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1.申报高级职称评审费：720元/人（高级评审费580元/人、答辩费140元/人）。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2.申报中级职称评审费：450元/人。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3.申报初级职称评审费：280元/人。</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4.部分专业系列需对申报人的论著进行鉴定的，另收每人200元的论著鉴定费。</w:t>
      </w:r>
    </w:p>
    <w:p>
      <w:pPr>
        <w:spacing w:before="156" w:beforeLines="50" w:after="156" w:afterLines="50" w:line="480" w:lineRule="exact"/>
        <w:ind w:firstLine="720" w:firstLineChars="240"/>
        <w:rPr>
          <w:rFonts w:ascii="仿宋_GB2312" w:eastAsia="仿宋_GB2312"/>
          <w:sz w:val="30"/>
          <w:szCs w:val="30"/>
        </w:rPr>
      </w:pPr>
      <w:r>
        <w:rPr>
          <w:rFonts w:hint="eastAsia" w:ascii="仿宋_GB2312" w:eastAsia="仿宋_GB2312"/>
          <w:sz w:val="30"/>
          <w:szCs w:val="30"/>
        </w:rPr>
        <w:t>5.建筑工程、路桥工程、铁道交通工程、标准化中、初级专业技术资格评审实行以考代评和考评结合，笔试作为评审的一个环节，收取考务费100元/人；考试合格人员经专业技术资格评委会日常工作部门审验符合专业技术资格申报条件的，按初级180元/人、中级350元/人、高级620元/人补足评审费用。</w:t>
      </w: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二、缴费方式</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申报人在系统自行打印缴费通知书，根据通知书的说明缴费。目前，申报人可以通过网上银行在线支付缴费（优先使用同行转帐）或银行柜台缴费，暂不支持微信、支付宝等在线支付方式缴费。</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1.市属各评委会申报职称评审业务由窗口缴费调整为自助缴费方式。</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2.自助缴费方式，即申报人或申报单位自行在申报系统“打印缴费通知书”，根据缴费通知书提示说明，使用网上银行转帐（建议优先使用同行转帐），或到银行柜台现金缴费、转帐等方式缴费。</w:t>
      </w:r>
    </w:p>
    <w:p>
      <w:pPr>
        <w:spacing w:before="156" w:beforeLines="50" w:after="156" w:afterLines="50" w:line="480" w:lineRule="exact"/>
        <w:ind w:firstLine="720" w:firstLineChars="240"/>
        <w:rPr>
          <w:rFonts w:ascii="仿宋" w:hAnsi="仿宋" w:eastAsia="仿宋"/>
          <w:color w:val="000000"/>
          <w:sz w:val="30"/>
          <w:szCs w:val="30"/>
        </w:rPr>
      </w:pPr>
      <w:r>
        <w:rPr>
          <w:rFonts w:hint="eastAsia" w:ascii="仿宋" w:hAnsi="仿宋" w:eastAsia="仿宋"/>
          <w:color w:val="000000"/>
          <w:sz w:val="30"/>
          <w:szCs w:val="30"/>
        </w:rPr>
        <w:t>3.自助缴费方式目前暂不支持支付宝、微信等支付、转帐方式。</w:t>
      </w:r>
    </w:p>
    <w:p>
      <w:pPr>
        <w:spacing w:before="156" w:beforeLines="50" w:after="156" w:afterLines="50" w:line="480" w:lineRule="exact"/>
        <w:ind w:firstLine="720" w:firstLineChars="240"/>
        <w:rPr>
          <w:rFonts w:ascii="仿宋" w:hAnsi="仿宋" w:eastAsia="仿宋"/>
          <w:color w:val="000000"/>
          <w:sz w:val="30"/>
          <w:szCs w:val="30"/>
        </w:rPr>
      </w:pPr>
      <w:r>
        <w:rPr>
          <w:rFonts w:ascii="仿宋" w:hAnsi="仿宋" w:eastAsia="仿宋"/>
          <w:color w:val="000000"/>
          <w:sz w:val="30"/>
          <w:szCs w:val="30"/>
        </w:rPr>
        <w:t>4</w:t>
      </w:r>
      <w:r>
        <w:rPr>
          <w:rFonts w:hint="eastAsia" w:ascii="仿宋" w:hAnsi="仿宋" w:eastAsia="仿宋"/>
          <w:color w:val="000000"/>
          <w:sz w:val="30"/>
          <w:szCs w:val="30"/>
        </w:rPr>
        <w:t>.缴费过程若有疑问，请拨打缴费通知书上面的咨询电话。</w:t>
      </w:r>
    </w:p>
    <w:p>
      <w:pPr>
        <w:spacing w:before="156" w:beforeLines="50" w:after="156" w:afterLines="50" w:line="480" w:lineRule="exact"/>
        <w:ind w:firstLine="723" w:firstLineChars="240"/>
        <w:rPr>
          <w:rFonts w:ascii="黑体" w:hAnsi="黑体" w:eastAsia="黑体"/>
          <w:b/>
          <w:color w:val="000000"/>
          <w:sz w:val="30"/>
          <w:szCs w:val="30"/>
        </w:rPr>
      </w:pPr>
      <w:r>
        <w:rPr>
          <w:rFonts w:hint="eastAsia" w:ascii="黑体" w:hAnsi="黑体" w:eastAsia="黑体"/>
          <w:b/>
          <w:color w:val="000000"/>
          <w:sz w:val="30"/>
          <w:szCs w:val="30"/>
        </w:rPr>
        <w:t>三、平安银行网上缴费说明（支持其他银行卡）</w:t>
      </w:r>
    </w:p>
    <w:p>
      <w:pPr>
        <w:ind w:firstLine="850" w:firstLineChars="405"/>
        <w:rPr>
          <w:rStyle w:val="7"/>
          <w:rFonts w:ascii="仿宋" w:hAnsi="仿宋" w:eastAsia="仿宋"/>
          <w:sz w:val="30"/>
          <w:szCs w:val="30"/>
        </w:rPr>
      </w:pPr>
      <w:r>
        <w:fldChar w:fldCharType="begin"/>
      </w:r>
      <w:r>
        <w:instrText xml:space="preserve"> HYPERLINK "https://ebank.sdb.com.cn/corporbank/SZNT_Index.do?orderId=|" </w:instrText>
      </w:r>
      <w:r>
        <w:fldChar w:fldCharType="separate"/>
      </w:r>
      <w:r>
        <w:rPr>
          <w:rStyle w:val="6"/>
          <w:rFonts w:ascii="仿宋" w:hAnsi="仿宋" w:eastAsia="仿宋"/>
          <w:sz w:val="30"/>
          <w:szCs w:val="30"/>
        </w:rPr>
        <w:t>https://ebank.sdb.com.cn/corporbank/SZNT_Index.do?orderId=|</w:t>
      </w:r>
      <w:r>
        <w:rPr>
          <w:rStyle w:val="7"/>
          <w:rFonts w:ascii="仿宋" w:hAnsi="仿宋" w:eastAsia="仿宋"/>
          <w:sz w:val="30"/>
          <w:szCs w:val="30"/>
        </w:rPr>
        <w:fldChar w:fldCharType="end"/>
      </w:r>
    </w:p>
    <w:p>
      <w:pPr>
        <w:ind w:firstLine="567" w:firstLineChars="189"/>
        <w:rPr>
          <w:rFonts w:hint="eastAsia"/>
          <w:color w:val="FF0000"/>
        </w:rPr>
      </w:pPr>
      <w:r>
        <w:rPr>
          <w:rFonts w:hint="eastAsia" w:ascii="仿宋" w:hAnsi="仿宋" w:eastAsia="仿宋"/>
          <w:color w:val="FF0000"/>
          <w:sz w:val="30"/>
          <w:szCs w:val="30"/>
        </w:rPr>
        <w:t>特别</w:t>
      </w:r>
      <w:r>
        <w:rPr>
          <w:rFonts w:ascii="仿宋" w:hAnsi="仿宋" w:eastAsia="仿宋"/>
          <w:color w:val="FF0000"/>
          <w:sz w:val="30"/>
          <w:szCs w:val="30"/>
        </w:rPr>
        <w:t>说明：</w:t>
      </w:r>
      <w:r>
        <w:rPr>
          <w:rFonts w:hint="eastAsia" w:ascii="仿宋" w:hAnsi="仿宋" w:eastAsia="仿宋"/>
          <w:color w:val="FF0000"/>
          <w:sz w:val="30"/>
          <w:szCs w:val="30"/>
        </w:rPr>
        <w:t>鉴于</w:t>
      </w:r>
      <w:r>
        <w:rPr>
          <w:rFonts w:ascii="仿宋" w:hAnsi="仿宋" w:eastAsia="仿宋"/>
          <w:color w:val="FF0000"/>
          <w:sz w:val="30"/>
          <w:szCs w:val="30"/>
        </w:rPr>
        <w:t>往年</w:t>
      </w:r>
      <w:r>
        <w:rPr>
          <w:rFonts w:hint="eastAsia" w:ascii="仿宋" w:hAnsi="仿宋" w:eastAsia="仿宋"/>
          <w:color w:val="FF0000"/>
          <w:sz w:val="30"/>
          <w:szCs w:val="30"/>
        </w:rPr>
        <w:t>经验，</w:t>
      </w:r>
      <w:r>
        <w:rPr>
          <w:rFonts w:ascii="仿宋" w:hAnsi="仿宋" w:eastAsia="仿宋"/>
          <w:color w:val="FF0000"/>
          <w:sz w:val="30"/>
          <w:szCs w:val="30"/>
        </w:rPr>
        <w:t>建议</w:t>
      </w:r>
      <w:r>
        <w:rPr>
          <w:rFonts w:hint="eastAsia" w:ascii="仿宋" w:hAnsi="仿宋" w:eastAsia="仿宋"/>
          <w:color w:val="FF0000"/>
          <w:sz w:val="30"/>
          <w:szCs w:val="30"/>
        </w:rPr>
        <w:t>申报</w:t>
      </w:r>
      <w:r>
        <w:rPr>
          <w:rFonts w:ascii="仿宋" w:hAnsi="仿宋" w:eastAsia="仿宋"/>
          <w:color w:val="FF0000"/>
          <w:sz w:val="30"/>
          <w:szCs w:val="30"/>
        </w:rPr>
        <w:t>人使用柜台缴费方式。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5C"/>
    <w:rsid w:val="00292F5D"/>
    <w:rsid w:val="0065485C"/>
    <w:rsid w:val="006B06FC"/>
    <w:rsid w:val="009F3AAB"/>
    <w:rsid w:val="0D9552B9"/>
    <w:rsid w:val="12513CD9"/>
    <w:rsid w:val="361B4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qFormat/>
    <w:uiPriority w:val="99"/>
    <w:rPr>
      <w:color w:val="0000FF"/>
      <w:u w:val="single"/>
    </w:rPr>
  </w:style>
  <w:style w:type="character" w:customStyle="1" w:styleId="8">
    <w:name w:val="页眉 Char"/>
    <w:basedOn w:val="5"/>
    <w:link w:val="3"/>
    <w:qFormat/>
    <w:uiPriority w:val="99"/>
    <w:rPr>
      <w:rFonts w:ascii="Times New Roman" w:hAnsi="Times New Roman" w:eastAsia="宋体" w:cs="Times New Roman"/>
      <w:sz w:val="18"/>
      <w:szCs w:val="18"/>
    </w:rPr>
  </w:style>
  <w:style w:type="character" w:customStyle="1" w:styleId="9">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123</Words>
  <Characters>707</Characters>
  <Lines>5</Lines>
  <Paragraphs>1</Paragraphs>
  <TotalTime>14</TotalTime>
  <ScaleCrop>false</ScaleCrop>
  <LinksUpToDate>false</LinksUpToDate>
  <CharactersWithSpaces>829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2017-09-11T08:25:00Z</dcterms:created>
  <dc:creator>市人力资源保障局 苏亨数</dc:creator>
  <cp:lastModifiedBy>fszi</cp:lastModifiedBy>
  <dcterms:modified xsi:type="dcterms:W3CDTF">2020-03-17T03:35:36Z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